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AC" w:rsidRPr="00844BEB" w:rsidRDefault="00F913AC" w:rsidP="00F913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  <w:lang w:eastAsia="fr-FR"/>
        </w:rPr>
      </w:pPr>
      <w:r w:rsidRPr="00844BEB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  <w:lang w:eastAsia="fr-FR"/>
        </w:rPr>
        <w:t>60 nouvelles ressources pédagogiques en ligne et en accès libre</w:t>
      </w:r>
    </w:p>
    <w:p w:rsidR="00F913AC" w:rsidRPr="00844BEB" w:rsidRDefault="00F913AC" w:rsidP="00F913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  <w:lang w:eastAsia="fr-FR"/>
        </w:rPr>
      </w:pPr>
      <w:r w:rsidRPr="00844BEB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  <w:lang w:eastAsia="fr-FR"/>
        </w:rPr>
        <w:t>Des fiches pédagogiques, des activités réalisées à partir de documents authentiques et les activités d'évaluation</w:t>
      </w:r>
      <w:r w:rsidRPr="00844BE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  <w:r w:rsidRPr="00844B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été réalisées dans le cadre de la formation-action FAMI par des  associations de Bourg-en-Bresse (01), Dijon (21), Chartres(28), Blois (41), Orléans (45), Le Havre (76), </w:t>
      </w:r>
      <w:proofErr w:type="spellStart"/>
      <w:r w:rsidRPr="00844BEB">
        <w:rPr>
          <w:rFonts w:ascii="Times New Roman" w:eastAsia="Times New Roman" w:hAnsi="Times New Roman" w:cs="Times New Roman"/>
          <w:sz w:val="24"/>
          <w:szCs w:val="24"/>
          <w:lang w:eastAsia="fr-FR"/>
        </w:rPr>
        <w:t>Marly-le-Roy</w:t>
      </w:r>
      <w:proofErr w:type="spellEnd"/>
      <w:r w:rsidRPr="00844B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(78), Massy (78), Fontenay-le-Comte (85), Poitiers (86), Evry (91), Puteaux (92), Tremblay-en-France (93), Ivry-sur-Seine (94), Vitry-sur-Seine (94) et Domont (95).</w:t>
      </w:r>
      <w:r w:rsidRPr="00B926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926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Ces ressources concernent les espaces sociaux suivants : </w:t>
      </w:r>
      <w:r w:rsidRPr="00844BEB">
        <w:rPr>
          <w:rFonts w:ascii="Times New Roman" w:eastAsia="Times New Roman" w:hAnsi="Times New Roman" w:cs="Times New Roman"/>
          <w:b/>
          <w:bCs/>
          <w:color w:val="D60093"/>
          <w:sz w:val="24"/>
          <w:szCs w:val="24"/>
          <w:lang w:eastAsia="fr-FR"/>
        </w:rPr>
        <w:t>la médiathèque/ bibliothèque, le cinéma, l'hôpital, la pharmacie, les commerces, la mairie, la poste, la banque, l'association, la ville, la République et la Démocratie, l'emploi, la crèche, les transports, le collège, l'école et les urgences.</w:t>
      </w:r>
    </w:p>
    <w:p w:rsidR="00F913AC" w:rsidRDefault="00F913AC" w:rsidP="00F913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E2007A"/>
          <w:sz w:val="24"/>
          <w:szCs w:val="24"/>
          <w:lang w:eastAsia="fr-FR"/>
        </w:rPr>
      </w:pPr>
    </w:p>
    <w:tbl>
      <w:tblPr>
        <w:tblStyle w:val="Grilledutableau"/>
        <w:tblW w:w="10206" w:type="dxa"/>
        <w:tblInd w:w="-459" w:type="dxa"/>
        <w:tblLook w:val="04A0"/>
      </w:tblPr>
      <w:tblGrid>
        <w:gridCol w:w="3119"/>
        <w:gridCol w:w="2835"/>
        <w:gridCol w:w="4252"/>
      </w:tblGrid>
      <w:tr w:rsidR="00F913AC" w:rsidTr="005C2A6E">
        <w:tc>
          <w:tcPr>
            <w:tcW w:w="3119" w:type="dxa"/>
            <w:shd w:val="clear" w:color="auto" w:fill="D60093"/>
          </w:tcPr>
          <w:p w:rsidR="00F913AC" w:rsidRPr="00412EB8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</w:pPr>
            <w:r w:rsidRPr="00412EB8"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  <w:t>Espace social</w:t>
            </w:r>
          </w:p>
        </w:tc>
        <w:tc>
          <w:tcPr>
            <w:tcW w:w="2835" w:type="dxa"/>
            <w:shd w:val="clear" w:color="auto" w:fill="D60093"/>
          </w:tcPr>
          <w:p w:rsidR="00F913AC" w:rsidRPr="00412EB8" w:rsidRDefault="00F913AC" w:rsidP="005C2A6E">
            <w:pPr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</w:pPr>
            <w:r w:rsidRPr="00412EB8"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  <w:t>Type de document</w:t>
            </w:r>
          </w:p>
        </w:tc>
        <w:tc>
          <w:tcPr>
            <w:tcW w:w="4252" w:type="dxa"/>
            <w:shd w:val="clear" w:color="auto" w:fill="D60093"/>
          </w:tcPr>
          <w:p w:rsidR="00F913AC" w:rsidRPr="00412EB8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</w:pPr>
            <w:r w:rsidRPr="00412EB8">
              <w:rPr>
                <w:rFonts w:ascii="Agency FB" w:eastAsia="Times New Roman" w:hAnsi="Agency FB" w:cs="Times New Roman"/>
                <w:color w:val="FFFFFF" w:themeColor="background1"/>
                <w:sz w:val="28"/>
                <w:szCs w:val="24"/>
                <w:lang w:eastAsia="fr-FR"/>
              </w:rPr>
              <w:t>Nom du document</w:t>
            </w:r>
          </w:p>
        </w:tc>
      </w:tr>
      <w:tr w:rsidR="00F913AC" w:rsidTr="005C2A6E">
        <w:tc>
          <w:tcPr>
            <w:tcW w:w="3119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  <w:t>L’Association</w:t>
            </w:r>
          </w:p>
        </w:tc>
        <w:tc>
          <w:tcPr>
            <w:tcW w:w="2835" w:type="dxa"/>
          </w:tcPr>
          <w:p w:rsidR="00F913AC" w:rsidRPr="00844BEB" w:rsidRDefault="00F913AC" w:rsidP="005C2A6E">
            <w:pPr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 xml:space="preserve">Evaluation de positionnement 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Constituer des groupes ASL</w:t>
            </w:r>
          </w:p>
        </w:tc>
      </w:tr>
      <w:tr w:rsidR="00F913AC" w:rsidTr="005C2A6E">
        <w:trPr>
          <w:trHeight w:val="23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Activités pédagogiques 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Panneau de signalétique</w:t>
            </w:r>
          </w:p>
        </w:tc>
      </w:tr>
      <w:tr w:rsidR="00F913AC" w:rsidTr="005C2A6E">
        <w:trPr>
          <w:trHeight w:val="12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 xml:space="preserve">- Règlement intérieur d’une association, </w:t>
            </w:r>
          </w:p>
        </w:tc>
      </w:tr>
      <w:tr w:rsidR="00F913AC" w:rsidTr="005C2A6E">
        <w:trPr>
          <w:trHeight w:val="17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Plaquette d’une association,</w:t>
            </w:r>
          </w:p>
        </w:tc>
      </w:tr>
      <w:tr w:rsidR="00F913AC" w:rsidTr="005C2A6E">
        <w:trPr>
          <w:trHeight w:val="196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Brochure de l’association</w:t>
            </w:r>
          </w:p>
        </w:tc>
      </w:tr>
      <w:tr w:rsidR="00F913AC" w:rsidTr="005C2A6E">
        <w:trPr>
          <w:trHeight w:val="214"/>
        </w:trPr>
        <w:tc>
          <w:tcPr>
            <w:tcW w:w="3119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>Administrations 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activité d’évaluation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Administrations</w:t>
            </w:r>
          </w:p>
        </w:tc>
      </w:tr>
      <w:tr w:rsidR="00F913AC" w:rsidTr="005C2A6E">
        <w:trPr>
          <w:trHeight w:val="140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activité pédagogiques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Brochure du centre communal d’action sociale (CCAS)</w:t>
            </w:r>
          </w:p>
        </w:tc>
      </w:tr>
      <w:tr w:rsidR="00F913AC" w:rsidTr="005C2A6E">
        <w:trPr>
          <w:trHeight w:val="208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Effectuer une démarche à la Mairie</w:t>
            </w:r>
          </w:p>
        </w:tc>
      </w:tr>
      <w:tr w:rsidR="00F913AC" w:rsidTr="005C2A6E">
        <w:trPr>
          <w:trHeight w:val="176"/>
        </w:trPr>
        <w:tc>
          <w:tcPr>
            <w:tcW w:w="3119" w:type="dxa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>La banque </w:t>
            </w: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Ouvrir un compte à la banque</w:t>
            </w:r>
          </w:p>
        </w:tc>
      </w:tr>
      <w:tr w:rsidR="00F913AC" w:rsidTr="005C2A6E">
        <w:trPr>
          <w:trHeight w:val="262"/>
        </w:trPr>
        <w:tc>
          <w:tcPr>
            <w:tcW w:w="3119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 xml:space="preserve">Cinéma  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Fréquenter le cinéma</w:t>
            </w:r>
          </w:p>
        </w:tc>
      </w:tr>
      <w:tr w:rsidR="00F913AC" w:rsidTr="005C2A6E">
        <w:trPr>
          <w:trHeight w:val="77"/>
        </w:trPr>
        <w:tc>
          <w:tcPr>
            <w:tcW w:w="3119" w:type="dxa"/>
            <w:vMerge w:val="restart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Commerces</w:t>
            </w:r>
          </w:p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activités pédagogiques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Caisse automatique de supermarché-photo</w:t>
            </w:r>
          </w:p>
        </w:tc>
      </w:tr>
      <w:tr w:rsidR="00F913AC" w:rsidTr="005C2A6E">
        <w:trPr>
          <w:trHeight w:val="142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Emballage alimentaire</w:t>
            </w:r>
          </w:p>
        </w:tc>
      </w:tr>
      <w:tr w:rsidR="00F913AC" w:rsidTr="005C2A6E">
        <w:trPr>
          <w:trHeight w:val="146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Catalogue promotionnel</w:t>
            </w:r>
          </w:p>
        </w:tc>
      </w:tr>
      <w:tr w:rsidR="00F913AC" w:rsidTr="005C2A6E">
        <w:trPr>
          <w:trHeight w:val="164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Emballage alimentaire</w:t>
            </w:r>
          </w:p>
        </w:tc>
      </w:tr>
      <w:tr w:rsidR="00F913AC" w:rsidTr="005C2A6E">
        <w:trPr>
          <w:trHeight w:val="154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Participer à la semaine du goût</w:t>
            </w:r>
          </w:p>
        </w:tc>
      </w:tr>
      <w:tr w:rsidR="00F913AC" w:rsidTr="005C2A6E">
        <w:trPr>
          <w:trHeight w:val="262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Fréquenter les commerces</w:t>
            </w:r>
          </w:p>
        </w:tc>
      </w:tr>
      <w:tr w:rsidR="00F913AC" w:rsidTr="005C2A6E">
        <w:trPr>
          <w:trHeight w:val="194"/>
        </w:trPr>
        <w:tc>
          <w:tcPr>
            <w:tcW w:w="3119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Emploi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Connaître les techniques de recherche d’emploi</w:t>
            </w:r>
          </w:p>
        </w:tc>
      </w:tr>
      <w:tr w:rsidR="00F913AC" w:rsidTr="005C2A6E">
        <w:tc>
          <w:tcPr>
            <w:tcW w:w="3119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 xml:space="preserve">Evénements culturels  </w:t>
            </w: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Fréquenter les lieux culturels de la ville</w:t>
            </w:r>
          </w:p>
        </w:tc>
      </w:tr>
      <w:tr w:rsidR="00F913AC" w:rsidTr="005C2A6E">
        <w:tc>
          <w:tcPr>
            <w:tcW w:w="3119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>Evénements de la vie personnelle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Réagir en cas d’urgence</w:t>
            </w:r>
          </w:p>
        </w:tc>
      </w:tr>
      <w:tr w:rsidR="00F913AC" w:rsidTr="005C2A6E">
        <w:trPr>
          <w:trHeight w:val="77"/>
        </w:trPr>
        <w:tc>
          <w:tcPr>
            <w:tcW w:w="3119" w:type="dxa"/>
            <w:vMerge w:val="restart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Hôpital</w:t>
            </w:r>
          </w:p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>
              <w:rPr>
                <w:rFonts w:ascii="Agency FB" w:hAnsi="Agency FB"/>
                <w:sz w:val="28"/>
              </w:rPr>
              <w:t>A</w:t>
            </w:r>
            <w:r w:rsidRPr="00844BEB">
              <w:rPr>
                <w:rFonts w:ascii="Agency FB" w:hAnsi="Agency FB"/>
                <w:sz w:val="28"/>
              </w:rPr>
              <w:t>ctivité d’auto-évaluation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L’hôpital et le Trésor Public</w:t>
            </w:r>
          </w:p>
        </w:tc>
      </w:tr>
      <w:tr w:rsidR="00F913AC" w:rsidTr="005C2A6E">
        <w:trPr>
          <w:trHeight w:val="77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 pédagogique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Mieux connaître l’hôpital</w:t>
            </w:r>
          </w:p>
        </w:tc>
      </w:tr>
      <w:tr w:rsidR="00F913AC" w:rsidTr="005C2A6E">
        <w:trPr>
          <w:trHeight w:val="77"/>
        </w:trPr>
        <w:tc>
          <w:tcPr>
            <w:tcW w:w="3119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  <w:szCs w:val="24"/>
              </w:rPr>
            </w:pPr>
            <w:r w:rsidRPr="00844BEB">
              <w:rPr>
                <w:rFonts w:ascii="Agency FB" w:hAnsi="Agency FB" w:cs="Times New Roman"/>
                <w:sz w:val="28"/>
                <w:szCs w:val="24"/>
              </w:rPr>
              <w:t>Médiathèque </w:t>
            </w: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Activités pédagogiques 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 w:cs="Times New Roman"/>
                <w:sz w:val="28"/>
              </w:rPr>
              <w:t>- Photo de la médiathèque-accueil</w:t>
            </w:r>
          </w:p>
        </w:tc>
      </w:tr>
      <w:tr w:rsidR="00F913AC" w:rsidTr="005C2A6E">
        <w:trPr>
          <w:trHeight w:val="176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 xml:space="preserve">- Journal de cuisine </w:t>
            </w:r>
          </w:p>
        </w:tc>
      </w:tr>
      <w:tr w:rsidR="00F913AC" w:rsidTr="005C2A6E">
        <w:trPr>
          <w:trHeight w:val="126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Rayonnage de la médiathèque-photo</w:t>
            </w:r>
          </w:p>
        </w:tc>
      </w:tr>
      <w:tr w:rsidR="00F913AC" w:rsidTr="005C2A6E">
        <w:trPr>
          <w:trHeight w:val="131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 xml:space="preserve"> - Article de journal</w:t>
            </w:r>
          </w:p>
        </w:tc>
      </w:tr>
      <w:tr w:rsidR="00F913AC" w:rsidTr="005C2A6E">
        <w:trPr>
          <w:trHeight w:val="120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Fiche d’inscription à la médiathèque</w:t>
            </w:r>
          </w:p>
        </w:tc>
      </w:tr>
      <w:tr w:rsidR="00F913AC" w:rsidTr="005C2A6E">
        <w:trPr>
          <w:trHeight w:val="138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Espace numérique-photo</w:t>
            </w:r>
          </w:p>
        </w:tc>
      </w:tr>
      <w:tr w:rsidR="00F913AC" w:rsidTr="005C2A6E">
        <w:trPr>
          <w:trHeight w:val="142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Carte de bibliothèque</w:t>
            </w:r>
          </w:p>
        </w:tc>
      </w:tr>
      <w:tr w:rsidR="00F913AC" w:rsidTr="005C2A6E">
        <w:trPr>
          <w:trHeight w:val="184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Fiches pédagogiques 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Fréquenter la médiathèque</w:t>
            </w:r>
          </w:p>
        </w:tc>
      </w:tr>
      <w:tr w:rsidR="00F913AC" w:rsidTr="005C2A6E">
        <w:trPr>
          <w:trHeight w:val="142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 w:cs="Times New Roman"/>
                <w:sz w:val="28"/>
              </w:rPr>
            </w:pPr>
            <w:r w:rsidRPr="00844BEB">
              <w:rPr>
                <w:rFonts w:ascii="Agency FB" w:hAnsi="Agency FB" w:cs="Times New Roman"/>
                <w:sz w:val="28"/>
              </w:rPr>
              <w:t>- Etre usager de la médiathèque</w:t>
            </w:r>
          </w:p>
        </w:tc>
      </w:tr>
      <w:tr w:rsidR="00F913AC" w:rsidTr="005C2A6E">
        <w:trPr>
          <w:trHeight w:val="127"/>
        </w:trPr>
        <w:tc>
          <w:tcPr>
            <w:tcW w:w="3119" w:type="dxa"/>
            <w:vMerge w:val="restart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Espaces de santé</w:t>
            </w:r>
          </w:p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/>
                <w:sz w:val="28"/>
              </w:rPr>
              <w:t>Activité d’évaluation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eastAsia="Times New Roman" w:hAnsi="Agency FB" w:cs="Times New Roman"/>
                <w:sz w:val="28"/>
                <w:szCs w:val="24"/>
                <w:lang w:eastAsia="fr-FR"/>
              </w:rPr>
            </w:pPr>
            <w:r w:rsidRPr="00844BEB">
              <w:rPr>
                <w:rFonts w:ascii="Agency FB" w:hAnsi="Agency FB"/>
                <w:sz w:val="28"/>
              </w:rPr>
              <w:t>Centre médical</w:t>
            </w:r>
          </w:p>
        </w:tc>
      </w:tr>
      <w:tr w:rsidR="00F913AC" w:rsidTr="005C2A6E">
        <w:trPr>
          <w:trHeight w:val="145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Activités pédagogiques 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Ordonnance X2</w:t>
            </w:r>
          </w:p>
        </w:tc>
      </w:tr>
      <w:tr w:rsidR="00F913AC" w:rsidTr="005C2A6E">
        <w:trPr>
          <w:trHeight w:val="277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Espace intérieur d’une pharmacie X2</w:t>
            </w:r>
          </w:p>
        </w:tc>
      </w:tr>
      <w:tr w:rsidR="00F913AC" w:rsidTr="005C2A6E">
        <w:trPr>
          <w:trHeight w:val="157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Formulaire de demande d’AME</w:t>
            </w:r>
          </w:p>
        </w:tc>
      </w:tr>
      <w:tr w:rsidR="00F913AC" w:rsidTr="005C2A6E">
        <w:trPr>
          <w:trHeight w:val="287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 xml:space="preserve">- Espace intérieur de la pharmacie-photo, </w:t>
            </w:r>
          </w:p>
        </w:tc>
      </w:tr>
      <w:tr w:rsidR="00F913AC" w:rsidTr="005C2A6E">
        <w:trPr>
          <w:trHeight w:val="145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Fiche pédagogique 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Demander conseil au pharmacien</w:t>
            </w:r>
          </w:p>
        </w:tc>
      </w:tr>
      <w:tr w:rsidR="00F913AC" w:rsidTr="005C2A6E">
        <w:trPr>
          <w:trHeight w:val="145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Fréquenter le point médical</w:t>
            </w:r>
          </w:p>
        </w:tc>
      </w:tr>
      <w:tr w:rsidR="00F913AC" w:rsidTr="005C2A6E">
        <w:trPr>
          <w:trHeight w:val="164"/>
        </w:trPr>
        <w:tc>
          <w:tcPr>
            <w:tcW w:w="3119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La Poste </w:t>
            </w:r>
          </w:p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 d’évaluation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Carte de France, la Poste et les services administratifs</w:t>
            </w:r>
          </w:p>
        </w:tc>
      </w:tr>
      <w:tr w:rsidR="00F913AC" w:rsidTr="005C2A6E">
        <w:trPr>
          <w:trHeight w:val="232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Fiche pédagogique 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Fréquenter la Poste</w:t>
            </w:r>
          </w:p>
        </w:tc>
      </w:tr>
      <w:tr w:rsidR="00F913AC" w:rsidTr="005C2A6E">
        <w:trPr>
          <w:trHeight w:val="200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Faire un retrait d’argent et envoyer un courrier</w:t>
            </w:r>
          </w:p>
        </w:tc>
      </w:tr>
      <w:tr w:rsidR="00F913AC" w:rsidTr="005C2A6E">
        <w:trPr>
          <w:trHeight w:val="204"/>
        </w:trPr>
        <w:tc>
          <w:tcPr>
            <w:tcW w:w="3119" w:type="dxa"/>
            <w:vMerge w:val="restart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Petite enfance</w:t>
            </w: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 d’évaluation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Crèche</w:t>
            </w:r>
          </w:p>
        </w:tc>
      </w:tr>
      <w:tr w:rsidR="00F913AC" w:rsidTr="005C2A6E">
        <w:trPr>
          <w:trHeight w:val="26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Activités pédagogiques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Autorisation de droit à l’image</w:t>
            </w:r>
          </w:p>
        </w:tc>
      </w:tr>
      <w:tr w:rsidR="00F913AC" w:rsidTr="005C2A6E">
        <w:trPr>
          <w:trHeight w:val="26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Fiche pédagogique 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Découvrir la crèche</w:t>
            </w:r>
          </w:p>
        </w:tc>
      </w:tr>
      <w:tr w:rsidR="00F913AC" w:rsidTr="005C2A6E">
        <w:trPr>
          <w:trHeight w:val="469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Connaître les différents modes de garde et inscrire mon enfant à la crèche</w:t>
            </w:r>
          </w:p>
        </w:tc>
      </w:tr>
      <w:tr w:rsidR="00F913AC" w:rsidTr="005C2A6E">
        <w:trPr>
          <w:trHeight w:val="408"/>
        </w:trPr>
        <w:tc>
          <w:tcPr>
            <w:tcW w:w="3119" w:type="dxa"/>
            <w:vMerge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Découvrir le déroulement d’une journée à l’école élémentaire</w:t>
            </w:r>
          </w:p>
        </w:tc>
      </w:tr>
      <w:tr w:rsidR="00F913AC" w:rsidTr="005C2A6E">
        <w:trPr>
          <w:trHeight w:val="161"/>
        </w:trPr>
        <w:tc>
          <w:tcPr>
            <w:tcW w:w="3119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Collège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Evaluation de suivi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Connaissance du collège</w:t>
            </w:r>
          </w:p>
        </w:tc>
      </w:tr>
      <w:tr w:rsidR="00F913AC" w:rsidTr="005C2A6E">
        <w:trPr>
          <w:trHeight w:val="164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Fiche pédagogique 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Participer aux temps forts du collège</w:t>
            </w:r>
          </w:p>
        </w:tc>
      </w:tr>
      <w:tr w:rsidR="00F913AC" w:rsidTr="005C2A6E">
        <w:trPr>
          <w:trHeight w:val="224"/>
        </w:trPr>
        <w:tc>
          <w:tcPr>
            <w:tcW w:w="3119" w:type="dxa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République et démocratie</w:t>
            </w:r>
          </w:p>
        </w:tc>
        <w:tc>
          <w:tcPr>
            <w:tcW w:w="2835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Evaluation de suivi</w:t>
            </w:r>
          </w:p>
        </w:tc>
        <w:tc>
          <w:tcPr>
            <w:tcW w:w="4252" w:type="dxa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Droits et devoirs</w:t>
            </w:r>
          </w:p>
        </w:tc>
      </w:tr>
      <w:tr w:rsidR="00F913AC" w:rsidTr="005C2A6E">
        <w:trPr>
          <w:trHeight w:val="228"/>
        </w:trPr>
        <w:tc>
          <w:tcPr>
            <w:tcW w:w="3119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Transports</w:t>
            </w:r>
          </w:p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 d’évaluation de suivi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Les transports</w:t>
            </w:r>
          </w:p>
        </w:tc>
      </w:tr>
      <w:tr w:rsidR="00F913AC" w:rsidTr="005C2A6E">
        <w:trPr>
          <w:trHeight w:val="234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 w:val="restart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Activités pédagogiques 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 xml:space="preserve">- Plan de ville X2 </w:t>
            </w:r>
          </w:p>
        </w:tc>
      </w:tr>
      <w:tr w:rsidR="00F913AC" w:rsidTr="005C2A6E">
        <w:trPr>
          <w:trHeight w:val="94"/>
        </w:trPr>
        <w:tc>
          <w:tcPr>
            <w:tcW w:w="3119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rPr>
                <w:rFonts w:ascii="Agency FB" w:hAnsi="Agency FB"/>
                <w:sz w:val="28"/>
              </w:rPr>
            </w:pPr>
          </w:p>
        </w:tc>
        <w:tc>
          <w:tcPr>
            <w:tcW w:w="2835" w:type="dxa"/>
            <w:vMerge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</w:p>
        </w:tc>
        <w:tc>
          <w:tcPr>
            <w:tcW w:w="4252" w:type="dxa"/>
            <w:shd w:val="clear" w:color="auto" w:fill="F2DBDB" w:themeFill="accent2" w:themeFillTint="33"/>
          </w:tcPr>
          <w:p w:rsidR="00F913AC" w:rsidRPr="00844BEB" w:rsidRDefault="00F913AC" w:rsidP="005C2A6E">
            <w:pPr>
              <w:spacing w:beforeAutospacing="1" w:afterAutospacing="1"/>
              <w:rPr>
                <w:rFonts w:ascii="Agency FB" w:hAnsi="Agency FB"/>
                <w:sz w:val="28"/>
              </w:rPr>
            </w:pPr>
            <w:r w:rsidRPr="00844BEB">
              <w:rPr>
                <w:rFonts w:ascii="Agency FB" w:hAnsi="Agency FB"/>
                <w:sz w:val="28"/>
              </w:rPr>
              <w:t>- Dépliant horaire de la SNCF</w:t>
            </w:r>
          </w:p>
        </w:tc>
      </w:tr>
    </w:tbl>
    <w:p w:rsidR="004534C8" w:rsidRDefault="004534C8" w:rsidP="004534C8">
      <w:pPr>
        <w:spacing w:beforeAutospacing="1" w:after="0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rect id="_x0000_s1027" style="position:absolute;margin-left:123.4pt;margin-top:12.75pt;width:141.5pt;height:83.75pt;z-index:251659264;mso-position-horizontal-relative:text;mso-position-vertical-relative:text" strokecolor="white [3212]">
            <v:textbox>
              <w:txbxContent>
                <w:p w:rsidR="004534C8" w:rsidRDefault="004534C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4645" cy="874829"/>
                        <wp:effectExtent l="1905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4645" cy="874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20"/>
          <w:szCs w:val="20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1387343" cy="627320"/>
            <wp:effectExtent l="19050" t="0" r="3307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73" cy="62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</w:t>
      </w:r>
    </w:p>
    <w:p w:rsidR="004534C8" w:rsidRDefault="004534C8" w:rsidP="004534C8">
      <w:pPr>
        <w:spacing w:beforeAutospacing="1" w:after="0" w:afterAutospacing="1" w:line="240" w:lineRule="auto"/>
        <w:rPr>
          <w:sz w:val="20"/>
          <w:szCs w:val="20"/>
        </w:rPr>
      </w:pPr>
    </w:p>
    <w:p w:rsidR="00F913AC" w:rsidRPr="004534C8" w:rsidRDefault="00576EF2" w:rsidP="004534C8">
      <w:pPr>
        <w:spacing w:beforeAutospacing="1" w:after="0" w:afterAutospacing="1" w:line="240" w:lineRule="auto"/>
        <w:rPr>
          <w:sz w:val="20"/>
          <w:szCs w:val="20"/>
        </w:rPr>
      </w:pPr>
      <w:r w:rsidRPr="00576EF2">
        <w:rPr>
          <w:sz w:val="20"/>
          <w:szCs w:val="20"/>
        </w:rPr>
        <w:t xml:space="preserve">FORMATION-ACTION </w:t>
      </w:r>
      <w:proofErr w:type="spellStart"/>
      <w:r w:rsidRPr="00576EF2">
        <w:rPr>
          <w:sz w:val="20"/>
          <w:szCs w:val="20"/>
        </w:rPr>
        <w:t>co-financée</w:t>
      </w:r>
      <w:proofErr w:type="spellEnd"/>
      <w:r w:rsidRPr="00576EF2">
        <w:rPr>
          <w:sz w:val="20"/>
          <w:szCs w:val="20"/>
        </w:rPr>
        <w:t xml:space="preserve"> par le Fonds Asile Migration et Intégration (FAMI) de l’Union </w:t>
      </w:r>
      <w:proofErr w:type="spellStart"/>
      <w:r w:rsidRPr="00576EF2">
        <w:rPr>
          <w:sz w:val="20"/>
          <w:szCs w:val="20"/>
        </w:rPr>
        <w:t>EuropéenneIntitulé</w:t>
      </w:r>
      <w:proofErr w:type="spellEnd"/>
      <w:r w:rsidRPr="00576EF2">
        <w:rPr>
          <w:sz w:val="20"/>
          <w:szCs w:val="20"/>
        </w:rPr>
        <w:t xml:space="preserve"> du projet : Soutien aux pratiques pédagogiques visant l’accompagnement de ressortissants de pays tiers à l’Union Européenne : </w:t>
      </w:r>
      <w:proofErr w:type="spellStart"/>
      <w:r w:rsidRPr="00576EF2">
        <w:rPr>
          <w:sz w:val="20"/>
          <w:szCs w:val="20"/>
        </w:rPr>
        <w:t>co</w:t>
      </w:r>
      <w:proofErr w:type="spellEnd"/>
      <w:r w:rsidRPr="00576EF2">
        <w:rPr>
          <w:sz w:val="20"/>
          <w:szCs w:val="20"/>
        </w:rPr>
        <w:t>-élaboration et mutualisation de ressources et d’outils sur des espaces numériques innovants FAMI-I- 14-243</w:t>
      </w:r>
    </w:p>
    <w:sectPr w:rsidR="00F913AC" w:rsidRPr="004534C8" w:rsidSect="002D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13AC"/>
    <w:rsid w:val="003D38B9"/>
    <w:rsid w:val="004534C8"/>
    <w:rsid w:val="00576EF2"/>
    <w:rsid w:val="00CF1EAC"/>
    <w:rsid w:val="00F913AC"/>
    <w:rsid w:val="00FC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576E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Nimbus Roman No9 L" w:eastAsia="SimSun" w:hAnsi="Nimbus Roman No9 L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6EF2"/>
    <w:rPr>
      <w:rFonts w:ascii="Nimbus Roman No9 L" w:eastAsia="SimSun" w:hAnsi="Nimbus Roman No9 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</dc:creator>
  <cp:lastModifiedBy>Marie</cp:lastModifiedBy>
  <cp:revision>2</cp:revision>
  <dcterms:created xsi:type="dcterms:W3CDTF">2017-03-29T10:16:00Z</dcterms:created>
  <dcterms:modified xsi:type="dcterms:W3CDTF">2017-04-07T09:06:00Z</dcterms:modified>
</cp:coreProperties>
</file>